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EA5" w:rsidRDefault="007D3EA5" w:rsidP="00AD25EA">
      <w:pPr>
        <w:ind w:left="720"/>
      </w:pPr>
      <w:r>
        <w:t xml:space="preserve">Statistika na draka </w:t>
      </w:r>
    </w:p>
    <w:p w:rsidR="006E7DF0" w:rsidRDefault="00F52FB6" w:rsidP="00AD25EA">
      <w:pPr>
        <w:ind w:left="720"/>
      </w:pPr>
      <w:r>
        <w:t>Statistika nuda je, má však cenné údaje, zpívá se ve známém popěvku z pohádky „Princové jsou na draka“. „Na draka“ může být často i statistika špatně pochopená nebo také statistika uvedená do nesprávného kontextu. Statistika</w:t>
      </w:r>
      <w:r w:rsidR="00652F0E">
        <w:t xml:space="preserve"> přitom</w:t>
      </w:r>
      <w:r>
        <w:t xml:space="preserve"> </w:t>
      </w:r>
      <w:r w:rsidR="00652F0E">
        <w:t>obvykle není jen suchým sdělením</w:t>
      </w:r>
      <w:r>
        <w:t>,</w:t>
      </w:r>
      <w:r w:rsidR="00652F0E">
        <w:t xml:space="preserve"> ale bývá využívána, aby potvrdila určitý</w:t>
      </w:r>
      <w:r>
        <w:t xml:space="preserve"> </w:t>
      </w:r>
      <w:r w:rsidR="00652F0E">
        <w:t>názor či argument</w:t>
      </w:r>
      <w:r>
        <w:t>.</w:t>
      </w:r>
      <w:r w:rsidR="00652F0E">
        <w:t xml:space="preserve"> I proto je potřeba, aby tvrzení odvážná nebo výrazně kritická byla podložena statistikou</w:t>
      </w:r>
      <w:r w:rsidR="00BE4B25">
        <w:t xml:space="preserve"> </w:t>
      </w:r>
      <w:r w:rsidR="00BE4B25">
        <w:t xml:space="preserve">skutečně </w:t>
      </w:r>
      <w:r w:rsidR="000D527E">
        <w:t>pravdivou, a aby interpretace statistiky byla správná.</w:t>
      </w:r>
      <w:r w:rsidR="00BE4B25">
        <w:t xml:space="preserve"> Vzhledem k tomu, že je statistika někdy označována jako přesný součet nepřesných údajů, a vzhledem k tomu, že je velmi často tento součet špatně interpretován, bývá statistika jako taková zpochybňována. </w:t>
      </w:r>
      <w:r>
        <w:t xml:space="preserve"> Mnohým se možná v</w:t>
      </w:r>
      <w:r w:rsidR="00652F0E">
        <w:t xml:space="preserve">ybaví výrok nejslavnějšího britského ministerského předsedy Winstona Churchilla „Věřím jen takové statistice, kterou jsem sám zfalšoval“. Vztah statistiky a nebezpečí jejího zneužití </w:t>
      </w:r>
      <w:r w:rsidR="00BE4B25">
        <w:t>selektivní</w:t>
      </w:r>
      <w:r w:rsidR="000D527E">
        <w:t xml:space="preserve"> intepretací</w:t>
      </w:r>
      <w:r w:rsidR="00652F0E">
        <w:t xml:space="preserve"> a subjektivním vnímáním jedince dobře vystihl také skotský básník, romanopisec, antropolog a novinář v jedné osobě Andrew Lang, který v jedné ze svých esejí přirovnal statistiku k pouliční lampě a člověka k opilci, kterému tato lampa neslouží k (o)svícení, ale jednoduše k tomu, aby se měl o co opřít.   </w:t>
      </w:r>
    </w:p>
    <w:p w:rsidR="00AD25EA" w:rsidRDefault="00652F0E" w:rsidP="00AD25EA">
      <w:pPr>
        <w:ind w:left="720"/>
      </w:pPr>
      <w:r>
        <w:t>Na jedné takové možná špatně pochopené, možná špatně zkonstruované, možná vůbec neexistující statistice</w:t>
      </w:r>
      <w:r w:rsidR="006E7DF0">
        <w:t xml:space="preserve"> byl</w:t>
      </w:r>
      <w:r>
        <w:t xml:space="preserve"> </w:t>
      </w:r>
      <w:r w:rsidR="006E7DF0">
        <w:t xml:space="preserve">vystaven rozhovor s představitelem jedné z profesních organizací s titulem „Zemědělci by měli přestat brečet“. Na tomto místě záměrně neuvádíme jméno organizace, ani jméno jejího zástupce, tedy alespoň do doby než dojde k vyjasnění, odkud onu statistiku čerpal. V článku se uvádí, že </w:t>
      </w:r>
      <w:r w:rsidR="006E7DF0" w:rsidRPr="00FA4C2A">
        <w:rPr>
          <w:i/>
        </w:rPr>
        <w:t xml:space="preserve">„ Je třeba změnit představu lidí, že zemědělci a potravináři jsou na tom v Česku hrozně špatně a že je obchodníci jen využívají. Když se podíváme na data Českého statistického úřadu za rok 2017, byl zisk zemědělských firem a farmářů přes 51 miliard korun, zisk potravinářů přes 17 miliard. To je víc, než měl dohromady celý retailový sektor od velkých řetězců až po poslední butik. Přitom veřejnost má stále pocit, že obchodníci jen bohatnou a zemědělci jsou chudáčkové.“ </w:t>
      </w:r>
    </w:p>
    <w:p w:rsidR="006F0892" w:rsidRDefault="006E7DF0" w:rsidP="006F0892">
      <w:pPr>
        <w:ind w:left="720"/>
      </w:pPr>
      <w:r>
        <w:t>Ačkoli se údajně jedná o data Českého statistického úřadu za rok 2017, není zcela jasné, o jaký konkrétní soubor dat by se mělo jednat. Ekonomickému výkonu zemědělství se věnuje tak zvaný Souhrnný zemědělský účet, který za rok 2017 poskytl následující</w:t>
      </w:r>
      <w:r w:rsidR="00FA4C2A">
        <w:t xml:space="preserve"> údaje:</w:t>
      </w:r>
      <w:r>
        <w:t xml:space="preserve"> Hodnota souhrnného zemědělského účtu za rok 2017 činila 21,3 mld. korun, hodnota zemědělské produkce pak 132,2 miliardy korun (rostlinná výroba 73,6 mld., živočišná 51,4 mld., zbytek tvořily služby 3,3 mld. a vedlejší činnosti 4,5 mld.). </w:t>
      </w:r>
      <w:r w:rsidR="00FA4C2A">
        <w:t>Příjmy včetně dotací dosáhly v roce 2017 170 miliard korun (dotace včetně investičních představovaly 37,8 miliardy korun, z toho přímé platby cca 23 mld. korun). Oproti tomu náklady dosáhly 148,7 miliardy korun s </w:t>
      </w:r>
      <w:proofErr w:type="spellStart"/>
      <w:r w:rsidR="00FA4C2A">
        <w:t>mezispotřebou</w:t>
      </w:r>
      <w:proofErr w:type="spellEnd"/>
      <w:r w:rsidR="00FA4C2A">
        <w:t xml:space="preserve"> (náklady na osiva, hnojiva, přípravku na ochranu rostlin, PHM atd.) na úrovni 89 miliard. Pro zajímavost na </w:t>
      </w:r>
      <w:proofErr w:type="spellStart"/>
      <w:r w:rsidR="00FA4C2A">
        <w:t>pachtovném</w:t>
      </w:r>
      <w:proofErr w:type="spellEnd"/>
      <w:r w:rsidR="00FA4C2A">
        <w:t xml:space="preserve"> a mzdách zemědělci utratili dohromady 35 miliard korun</w:t>
      </w:r>
      <w:r w:rsidR="006F0892">
        <w:t>, na daních potom 2 miliardy korun. Jen na těchto třech položkách tak zemědělci vynaložili stejné množství peněz, jaké obdrželi na dotacích, včetně dotací investičních, které mají dlouhodobou návratnost. Spotřeba fixního kapitálu, která s dlouhodobými investicemi přímo souvisí, přitom v roce 2017 tvořila nezanedbatelných 17,7 miliardy korun.</w:t>
      </w:r>
    </w:p>
    <w:p w:rsidR="007D3EA5" w:rsidRDefault="006F0892" w:rsidP="006F0892">
      <w:pPr>
        <w:ind w:left="720"/>
      </w:pPr>
      <w:r>
        <w:t>Na výše zmíněnou statistiku se tak můžeme podívat celostně a uvědomit si, že by za prvé zemědělství bez dotací, po kterých nejen podle uvedeného článku zemědělci neustále „</w:t>
      </w:r>
      <w:r w:rsidR="007D3EA5">
        <w:t>brečí“, vykazovalo</w:t>
      </w:r>
      <w:r>
        <w:t xml:space="preserve"> zá</w:t>
      </w:r>
      <w:r w:rsidR="007D3EA5">
        <w:t xml:space="preserve">porný souhrnný zemědělský účet a za druhé by domácnosti přišly o 35 miliard příjmů na mzdách a </w:t>
      </w:r>
      <w:proofErr w:type="spellStart"/>
      <w:r w:rsidR="007D3EA5">
        <w:t>pachtovném</w:t>
      </w:r>
      <w:proofErr w:type="spellEnd"/>
      <w:r w:rsidR="007D3EA5">
        <w:t xml:space="preserve"> bez toho, abychom počítali důchod, který zemědělství vytváří při produkci nákupem statků a služeb (89 miliard), nebo se na statistiku můžeme podívat selektivně a prohlásit, že zemědělci se vlastně nemají tak špatně, protože </w:t>
      </w:r>
      <w:r w:rsidR="007D3EA5">
        <w:lastRenderedPageBreak/>
        <w:t>jim zbylo 23,1 miliard korun, což je jenom něco málo než 10 % toho, co ve skutečnosti proinvestovali. Pokud se na tato čísla podíváme ještě selektivněji a přičteme (nejspíš) příjmy domácností a prodej zemědělského a potravinářského zboží ze zahraničí, dostaneme se možná na zmíněných 51 miliard pro zemědělce a 17 miliard pro potravináře.</w:t>
      </w:r>
    </w:p>
    <w:p w:rsidR="006F0892" w:rsidRDefault="007D3EA5" w:rsidP="006F0892">
      <w:pPr>
        <w:ind w:left="720"/>
      </w:pPr>
      <w:r>
        <w:t>Potíž je nicméně v tom, že takto sou</w:t>
      </w:r>
      <w:r w:rsidR="00B07EA6">
        <w:t>hrnný zemědělský účet tuzemského</w:t>
      </w:r>
      <w:r>
        <w:t xml:space="preserve"> zemědělství skutečně počítat nelze, a že samotný Český statistický úřad, ani Ústav zemědělské ekonomiky a informací nebyl schopen přijít ke stejnému číslu. </w:t>
      </w:r>
    </w:p>
    <w:p w:rsidR="00857BB9" w:rsidRDefault="00B07EA6" w:rsidP="006F0892">
      <w:pPr>
        <w:ind w:left="720"/>
      </w:pPr>
      <w:r>
        <w:t>K porovnání nabízím trochu jinou statistiku, konkrétně tedy jednu tabulku a jeden graf, obojí vychází z údajů Českého statistického úřadu. První statistika (tabulka) se věnuje cenovému indexu cen zemědělských výrobců, tedy ceně, kterou za d</w:t>
      </w:r>
      <w:r w:rsidR="000D527E">
        <w:t>odané zboží dostávají zemědělci. Zde můžeme jasně vidět dlouhodobou stagnaci cen, která je samozřejmě doprovázena růstem nákladů</w:t>
      </w:r>
      <w:r w:rsidR="00857BB9">
        <w:t>.</w:t>
      </w:r>
    </w:p>
    <w:tbl>
      <w:tblPr>
        <w:tblW w:w="8920" w:type="dxa"/>
        <w:tblCellMar>
          <w:left w:w="0" w:type="dxa"/>
          <w:right w:w="0" w:type="dxa"/>
        </w:tblCellMar>
        <w:tblLook w:val="04A0" w:firstRow="1" w:lastRow="0" w:firstColumn="1" w:lastColumn="0" w:noHBand="0" w:noVBand="1"/>
      </w:tblPr>
      <w:tblGrid>
        <w:gridCol w:w="1307"/>
        <w:gridCol w:w="1899"/>
        <w:gridCol w:w="2860"/>
        <w:gridCol w:w="2854"/>
      </w:tblGrid>
      <w:tr w:rsidR="00857BB9" w:rsidRPr="00FA4C2A" w:rsidTr="00ED7678">
        <w:trPr>
          <w:trHeight w:val="59"/>
        </w:trPr>
        <w:tc>
          <w:tcPr>
            <w:tcW w:w="1307" w:type="dxa"/>
            <w:vMerge w:val="restart"/>
            <w:tcBorders>
              <w:top w:val="single" w:sz="8" w:space="0" w:color="FFFFFF"/>
              <w:left w:val="single" w:sz="8" w:space="0" w:color="FFFFFF"/>
              <w:bottom w:val="single" w:sz="24" w:space="0" w:color="FFFFFF"/>
              <w:right w:val="single" w:sz="8" w:space="0" w:color="FFFFFF"/>
            </w:tcBorders>
            <w:shd w:val="clear" w:color="auto" w:fill="90C226"/>
            <w:tcMar>
              <w:top w:w="15" w:type="dxa"/>
              <w:left w:w="70" w:type="dxa"/>
              <w:bottom w:w="0" w:type="dxa"/>
              <w:right w:w="70" w:type="dxa"/>
            </w:tcMar>
            <w:vAlign w:val="center"/>
            <w:hideMark/>
          </w:tcPr>
          <w:p w:rsidR="00857BB9" w:rsidRDefault="00857BB9" w:rsidP="00ED7678">
            <w:pPr>
              <w:ind w:left="720"/>
              <w:rPr>
                <w:b/>
                <w:bCs/>
              </w:rPr>
            </w:pPr>
          </w:p>
          <w:p w:rsidR="00857BB9" w:rsidRDefault="00857BB9" w:rsidP="00ED7678">
            <w:pPr>
              <w:ind w:left="720"/>
              <w:rPr>
                <w:b/>
                <w:bCs/>
              </w:rPr>
            </w:pPr>
          </w:p>
          <w:p w:rsidR="00857BB9" w:rsidRPr="00FA4C2A" w:rsidRDefault="00857BB9" w:rsidP="00ED7678">
            <w:pPr>
              <w:ind w:left="720"/>
            </w:pPr>
            <w:r w:rsidRPr="00FA4C2A">
              <w:rPr>
                <w:b/>
                <w:bCs/>
              </w:rPr>
              <w:t> </w:t>
            </w:r>
          </w:p>
        </w:tc>
        <w:tc>
          <w:tcPr>
            <w:tcW w:w="1899" w:type="dxa"/>
            <w:vMerge w:val="restart"/>
            <w:tcBorders>
              <w:top w:val="single" w:sz="8" w:space="0" w:color="FFFFFF"/>
              <w:left w:val="single" w:sz="8" w:space="0" w:color="FFFFFF"/>
              <w:bottom w:val="single" w:sz="24" w:space="0" w:color="FFFFFF"/>
              <w:right w:val="single" w:sz="8" w:space="0" w:color="FFFFFF"/>
            </w:tcBorders>
            <w:shd w:val="clear" w:color="auto" w:fill="90C226"/>
            <w:tcMar>
              <w:top w:w="15" w:type="dxa"/>
              <w:left w:w="70" w:type="dxa"/>
              <w:bottom w:w="0" w:type="dxa"/>
              <w:right w:w="70" w:type="dxa"/>
            </w:tcMar>
            <w:vAlign w:val="center"/>
            <w:hideMark/>
          </w:tcPr>
          <w:p w:rsidR="00857BB9" w:rsidRPr="00FA4C2A" w:rsidRDefault="00857BB9" w:rsidP="00ED7678">
            <w:pPr>
              <w:ind w:left="720"/>
            </w:pPr>
            <w:r>
              <w:rPr>
                <w:b/>
                <w:bCs/>
              </w:rPr>
              <w:t xml:space="preserve">Ceny </w:t>
            </w:r>
            <w:proofErr w:type="spellStart"/>
            <w:r>
              <w:rPr>
                <w:b/>
                <w:bCs/>
              </w:rPr>
              <w:t>z</w:t>
            </w:r>
            <w:r w:rsidRPr="00FA4C2A">
              <w:rPr>
                <w:b/>
                <w:bCs/>
              </w:rPr>
              <w:t>eměděl-ských</w:t>
            </w:r>
            <w:proofErr w:type="spellEnd"/>
            <w:r w:rsidRPr="00FA4C2A">
              <w:rPr>
                <w:b/>
                <w:bCs/>
              </w:rPr>
              <w:t xml:space="preserve"> výrobců včetně ryb</w:t>
            </w:r>
          </w:p>
        </w:tc>
        <w:tc>
          <w:tcPr>
            <w:tcW w:w="5714" w:type="dxa"/>
            <w:gridSpan w:val="2"/>
            <w:tcBorders>
              <w:top w:val="single" w:sz="8" w:space="0" w:color="FFFFFF"/>
              <w:left w:val="single" w:sz="8" w:space="0" w:color="FFFFFF"/>
              <w:bottom w:val="single" w:sz="24" w:space="0" w:color="FFFFFF"/>
              <w:right w:val="single" w:sz="8" w:space="0" w:color="FFFFFF"/>
            </w:tcBorders>
            <w:shd w:val="clear" w:color="auto" w:fill="90C226"/>
            <w:tcMar>
              <w:top w:w="15" w:type="dxa"/>
              <w:left w:w="70" w:type="dxa"/>
              <w:bottom w:w="0" w:type="dxa"/>
              <w:right w:w="70" w:type="dxa"/>
            </w:tcMar>
            <w:vAlign w:val="center"/>
            <w:hideMark/>
          </w:tcPr>
          <w:p w:rsidR="00857BB9" w:rsidRPr="00FA4C2A" w:rsidRDefault="00857BB9" w:rsidP="00ED7678">
            <w:pPr>
              <w:ind w:left="720"/>
            </w:pPr>
            <w:r w:rsidRPr="00FA4C2A">
              <w:rPr>
                <w:b/>
                <w:bCs/>
              </w:rPr>
              <w:t>z toho výrobků</w:t>
            </w:r>
          </w:p>
        </w:tc>
      </w:tr>
      <w:tr w:rsidR="00857BB9" w:rsidRPr="00FA4C2A" w:rsidTr="00ED7678">
        <w:trPr>
          <w:trHeight w:val="1140"/>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857BB9" w:rsidRPr="00FA4C2A" w:rsidRDefault="00857BB9" w:rsidP="00ED7678">
            <w:pPr>
              <w:ind w:left="720"/>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857BB9" w:rsidRPr="00FA4C2A" w:rsidRDefault="00857BB9" w:rsidP="00ED7678">
            <w:pPr>
              <w:ind w:left="720"/>
            </w:pPr>
          </w:p>
        </w:tc>
        <w:tc>
          <w:tcPr>
            <w:tcW w:w="2860" w:type="dxa"/>
            <w:tcBorders>
              <w:top w:val="single" w:sz="24" w:space="0" w:color="FFFFFF"/>
              <w:left w:val="single" w:sz="24" w:space="0" w:color="FFFFFF"/>
              <w:bottom w:val="single" w:sz="8" w:space="0" w:color="FFFFFF"/>
              <w:right w:val="single" w:sz="8" w:space="0" w:color="FFFFFF"/>
            </w:tcBorders>
            <w:shd w:val="clear" w:color="auto" w:fill="DBE9CD"/>
            <w:tcMar>
              <w:top w:w="15" w:type="dxa"/>
              <w:left w:w="70" w:type="dxa"/>
              <w:bottom w:w="0" w:type="dxa"/>
              <w:right w:w="70" w:type="dxa"/>
            </w:tcMar>
            <w:vAlign w:val="center"/>
            <w:hideMark/>
          </w:tcPr>
          <w:p w:rsidR="00857BB9" w:rsidRPr="00FA4C2A" w:rsidRDefault="00857BB9" w:rsidP="00ED7678">
            <w:pPr>
              <w:ind w:left="720"/>
            </w:pPr>
            <w:r w:rsidRPr="00FA4C2A">
              <w:t>živočišných</w:t>
            </w:r>
          </w:p>
        </w:tc>
        <w:tc>
          <w:tcPr>
            <w:tcW w:w="2854" w:type="dxa"/>
            <w:tcBorders>
              <w:top w:val="single" w:sz="24"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center"/>
            <w:hideMark/>
          </w:tcPr>
          <w:p w:rsidR="00857BB9" w:rsidRPr="00FA4C2A" w:rsidRDefault="00857BB9" w:rsidP="00ED7678">
            <w:pPr>
              <w:ind w:left="720"/>
            </w:pPr>
            <w:r w:rsidRPr="00FA4C2A">
              <w:t>rostlinných</w:t>
            </w:r>
          </w:p>
        </w:tc>
      </w:tr>
      <w:tr w:rsidR="00857BB9" w:rsidRPr="00FA4C2A" w:rsidTr="00ED7678">
        <w:trPr>
          <w:trHeight w:val="240"/>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857BB9" w:rsidRPr="00FA4C2A" w:rsidRDefault="00857BB9" w:rsidP="00ED7678">
            <w:pPr>
              <w:ind w:left="720"/>
            </w:pPr>
          </w:p>
        </w:tc>
        <w:tc>
          <w:tcPr>
            <w:tcW w:w="1899" w:type="dxa"/>
            <w:vMerge w:val="restart"/>
            <w:tcBorders>
              <w:top w:val="single" w:sz="24" w:space="0" w:color="FFFFFF"/>
              <w:left w:val="single" w:sz="24" w:space="0" w:color="FFFFFF"/>
              <w:bottom w:val="single" w:sz="8" w:space="0" w:color="FFFFFF"/>
              <w:right w:val="single" w:sz="8" w:space="0" w:color="FFFFFF"/>
            </w:tcBorders>
            <w:shd w:val="clear" w:color="auto" w:fill="EEF4E8"/>
            <w:tcMar>
              <w:top w:w="15" w:type="dxa"/>
              <w:left w:w="70" w:type="dxa"/>
              <w:bottom w:w="0" w:type="dxa"/>
              <w:right w:w="70" w:type="dxa"/>
            </w:tcMar>
            <w:vAlign w:val="center"/>
            <w:hideMark/>
          </w:tcPr>
          <w:p w:rsidR="00857BB9" w:rsidRPr="00FA4C2A" w:rsidRDefault="00857BB9" w:rsidP="00ED7678">
            <w:pPr>
              <w:ind w:left="720"/>
            </w:pPr>
            <w:proofErr w:type="spellStart"/>
            <w:r>
              <w:t>Prices</w:t>
            </w:r>
            <w:proofErr w:type="spellEnd"/>
            <w:r>
              <w:t xml:space="preserve"> </w:t>
            </w:r>
            <w:proofErr w:type="spellStart"/>
            <w:r>
              <w:t>of</w:t>
            </w:r>
            <w:proofErr w:type="spellEnd"/>
            <w:r>
              <w:t xml:space="preserve"> </w:t>
            </w:r>
            <w:proofErr w:type="spellStart"/>
            <w:r>
              <w:t>a</w:t>
            </w:r>
            <w:r w:rsidRPr="00FA4C2A">
              <w:t>gricultural</w:t>
            </w:r>
            <w:proofErr w:type="spellEnd"/>
            <w:r w:rsidRPr="00FA4C2A">
              <w:t xml:space="preserve"> </w:t>
            </w:r>
            <w:proofErr w:type="spellStart"/>
            <w:r w:rsidRPr="00FA4C2A">
              <w:t>producer</w:t>
            </w:r>
            <w:r>
              <w:t>s</w:t>
            </w:r>
            <w:proofErr w:type="spellEnd"/>
            <w:r w:rsidRPr="00FA4C2A">
              <w:t xml:space="preserve"> </w:t>
            </w:r>
            <w:proofErr w:type="spellStart"/>
            <w:r w:rsidRPr="00FA4C2A">
              <w:t>incl</w:t>
            </w:r>
            <w:proofErr w:type="spellEnd"/>
            <w:r w:rsidRPr="00FA4C2A">
              <w:t xml:space="preserve">. </w:t>
            </w:r>
            <w:proofErr w:type="spellStart"/>
            <w:r w:rsidRPr="00FA4C2A">
              <w:t>fish</w:t>
            </w:r>
            <w:proofErr w:type="spellEnd"/>
          </w:p>
        </w:tc>
        <w:tc>
          <w:tcPr>
            <w:tcW w:w="5714" w:type="dxa"/>
            <w:gridSpan w:val="2"/>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center"/>
            <w:hideMark/>
          </w:tcPr>
          <w:p w:rsidR="00857BB9" w:rsidRPr="00FA4C2A" w:rsidRDefault="00857BB9" w:rsidP="00ED7678">
            <w:pPr>
              <w:ind w:left="720"/>
            </w:pPr>
            <w:proofErr w:type="spellStart"/>
            <w:r w:rsidRPr="00FA4C2A">
              <w:t>thereof</w:t>
            </w:r>
            <w:proofErr w:type="spellEnd"/>
          </w:p>
        </w:tc>
      </w:tr>
      <w:tr w:rsidR="00857BB9" w:rsidRPr="00FA4C2A" w:rsidTr="00ED7678">
        <w:trPr>
          <w:trHeight w:val="1399"/>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857BB9" w:rsidRPr="00FA4C2A" w:rsidRDefault="00857BB9" w:rsidP="00ED7678">
            <w:pPr>
              <w:ind w:left="720"/>
            </w:pPr>
          </w:p>
        </w:tc>
        <w:tc>
          <w:tcPr>
            <w:tcW w:w="0" w:type="auto"/>
            <w:vMerge/>
            <w:tcBorders>
              <w:top w:val="single" w:sz="24" w:space="0" w:color="FFFFFF"/>
              <w:left w:val="single" w:sz="24" w:space="0" w:color="FFFFFF"/>
              <w:bottom w:val="single" w:sz="8" w:space="0" w:color="FFFFFF"/>
              <w:right w:val="single" w:sz="8" w:space="0" w:color="FFFFFF"/>
            </w:tcBorders>
            <w:vAlign w:val="center"/>
            <w:hideMark/>
          </w:tcPr>
          <w:p w:rsidR="00857BB9" w:rsidRPr="00FA4C2A" w:rsidRDefault="00857BB9" w:rsidP="00ED7678">
            <w:pPr>
              <w:ind w:left="720"/>
            </w:pPr>
          </w:p>
        </w:tc>
        <w:tc>
          <w:tcPr>
            <w:tcW w:w="2860"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center"/>
            <w:hideMark/>
          </w:tcPr>
          <w:p w:rsidR="00857BB9" w:rsidRPr="00FA4C2A" w:rsidRDefault="00857BB9" w:rsidP="00ED7678">
            <w:pPr>
              <w:ind w:left="720"/>
            </w:pPr>
            <w:r w:rsidRPr="00FA4C2A">
              <w:t>Animal</w:t>
            </w:r>
          </w:p>
        </w:tc>
        <w:tc>
          <w:tcPr>
            <w:tcW w:w="2854"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center"/>
            <w:hideMark/>
          </w:tcPr>
          <w:p w:rsidR="00857BB9" w:rsidRPr="00FA4C2A" w:rsidRDefault="00857BB9" w:rsidP="00ED7678">
            <w:pPr>
              <w:ind w:left="720"/>
            </w:pPr>
            <w:r w:rsidRPr="00FA4C2A">
              <w:t xml:space="preserve"> </w:t>
            </w:r>
            <w:proofErr w:type="spellStart"/>
            <w:r w:rsidRPr="00FA4C2A">
              <w:t>Crop</w:t>
            </w:r>
            <w:proofErr w:type="spellEnd"/>
          </w:p>
        </w:tc>
      </w:tr>
      <w:tr w:rsidR="00857BB9" w:rsidRPr="00FA4C2A" w:rsidTr="00ED7678">
        <w:trPr>
          <w:trHeight w:val="210"/>
        </w:trPr>
        <w:tc>
          <w:tcPr>
            <w:tcW w:w="1307" w:type="dxa"/>
            <w:tcBorders>
              <w:top w:val="single" w:sz="24" w:space="0" w:color="FFFFFF"/>
              <w:left w:val="single" w:sz="8" w:space="0" w:color="FFFFFF"/>
              <w:bottom w:val="single" w:sz="8" w:space="0" w:color="FFFFFF"/>
              <w:right w:val="single" w:sz="8" w:space="0" w:color="FFFFFF"/>
            </w:tcBorders>
            <w:shd w:val="clear" w:color="auto" w:fill="90C226"/>
            <w:tcMar>
              <w:top w:w="15" w:type="dxa"/>
              <w:left w:w="70" w:type="dxa"/>
              <w:bottom w:w="0" w:type="dxa"/>
              <w:right w:w="70" w:type="dxa"/>
            </w:tcMar>
            <w:vAlign w:val="bottom"/>
            <w:hideMark/>
          </w:tcPr>
          <w:p w:rsidR="00857BB9" w:rsidRPr="00FA4C2A" w:rsidRDefault="00857BB9" w:rsidP="00ED7678">
            <w:pPr>
              <w:ind w:left="720"/>
            </w:pPr>
            <w:r w:rsidRPr="00FA4C2A">
              <w:rPr>
                <w:b/>
                <w:bCs/>
              </w:rPr>
              <w:t>2005</w:t>
            </w:r>
          </w:p>
        </w:tc>
        <w:tc>
          <w:tcPr>
            <w:tcW w:w="1899"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80,3 </w:t>
            </w:r>
          </w:p>
        </w:tc>
        <w:tc>
          <w:tcPr>
            <w:tcW w:w="28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99,6 </w:t>
            </w:r>
          </w:p>
        </w:tc>
        <w:tc>
          <w:tcPr>
            <w:tcW w:w="2854"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63,8 </w:t>
            </w:r>
          </w:p>
        </w:tc>
      </w:tr>
      <w:tr w:rsidR="00857BB9" w:rsidRPr="00FA4C2A" w:rsidTr="00ED7678">
        <w:trPr>
          <w:trHeight w:val="210"/>
        </w:trPr>
        <w:tc>
          <w:tcPr>
            <w:tcW w:w="1307" w:type="dxa"/>
            <w:tcBorders>
              <w:top w:val="single" w:sz="8" w:space="0" w:color="FFFFFF"/>
              <w:left w:val="single" w:sz="8" w:space="0" w:color="FFFFFF"/>
              <w:bottom w:val="single" w:sz="8" w:space="0" w:color="FFFFFF"/>
              <w:right w:val="single" w:sz="8" w:space="0" w:color="FFFFFF"/>
            </w:tcBorders>
            <w:shd w:val="clear" w:color="auto" w:fill="90C226"/>
            <w:tcMar>
              <w:top w:w="15" w:type="dxa"/>
              <w:left w:w="70" w:type="dxa"/>
              <w:bottom w:w="0" w:type="dxa"/>
              <w:right w:w="70" w:type="dxa"/>
            </w:tcMar>
            <w:vAlign w:val="bottom"/>
            <w:hideMark/>
          </w:tcPr>
          <w:p w:rsidR="00857BB9" w:rsidRPr="00FA4C2A" w:rsidRDefault="00857BB9" w:rsidP="00ED7678">
            <w:pPr>
              <w:ind w:left="720"/>
            </w:pPr>
            <w:r w:rsidRPr="00FA4C2A">
              <w:rPr>
                <w:b/>
                <w:bCs/>
              </w:rPr>
              <w:t>2006</w:t>
            </w:r>
          </w:p>
        </w:tc>
        <w:tc>
          <w:tcPr>
            <w:tcW w:w="1899"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bottom"/>
            <w:hideMark/>
          </w:tcPr>
          <w:p w:rsidR="00857BB9" w:rsidRPr="00FA4C2A" w:rsidRDefault="00857BB9" w:rsidP="00ED7678">
            <w:pPr>
              <w:ind w:left="720"/>
            </w:pPr>
            <w:r w:rsidRPr="00FA4C2A">
              <w:t xml:space="preserve">81,2 </w:t>
            </w:r>
          </w:p>
        </w:tc>
        <w:tc>
          <w:tcPr>
            <w:tcW w:w="2860"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bottom"/>
            <w:hideMark/>
          </w:tcPr>
          <w:p w:rsidR="00857BB9" w:rsidRPr="00FA4C2A" w:rsidRDefault="00857BB9" w:rsidP="00ED7678">
            <w:pPr>
              <w:ind w:left="720"/>
            </w:pPr>
            <w:r w:rsidRPr="00FA4C2A">
              <w:t xml:space="preserve">95,8 </w:t>
            </w:r>
          </w:p>
        </w:tc>
        <w:tc>
          <w:tcPr>
            <w:tcW w:w="2854"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bottom"/>
            <w:hideMark/>
          </w:tcPr>
          <w:p w:rsidR="00857BB9" w:rsidRPr="00FA4C2A" w:rsidRDefault="00857BB9" w:rsidP="00ED7678">
            <w:pPr>
              <w:ind w:left="720"/>
            </w:pPr>
            <w:r w:rsidRPr="00FA4C2A">
              <w:t xml:space="preserve">68,3 </w:t>
            </w:r>
          </w:p>
        </w:tc>
      </w:tr>
      <w:tr w:rsidR="00857BB9" w:rsidRPr="00FA4C2A" w:rsidTr="00ED7678">
        <w:trPr>
          <w:trHeight w:val="210"/>
        </w:trPr>
        <w:tc>
          <w:tcPr>
            <w:tcW w:w="1307" w:type="dxa"/>
            <w:tcBorders>
              <w:top w:val="single" w:sz="8" w:space="0" w:color="FFFFFF"/>
              <w:left w:val="single" w:sz="8" w:space="0" w:color="FFFFFF"/>
              <w:bottom w:val="single" w:sz="8" w:space="0" w:color="FFFFFF"/>
              <w:right w:val="single" w:sz="8" w:space="0" w:color="FFFFFF"/>
            </w:tcBorders>
            <w:shd w:val="clear" w:color="auto" w:fill="90C226"/>
            <w:tcMar>
              <w:top w:w="15" w:type="dxa"/>
              <w:left w:w="70" w:type="dxa"/>
              <w:bottom w:w="0" w:type="dxa"/>
              <w:right w:w="70" w:type="dxa"/>
            </w:tcMar>
            <w:vAlign w:val="bottom"/>
            <w:hideMark/>
          </w:tcPr>
          <w:p w:rsidR="00857BB9" w:rsidRPr="00FA4C2A" w:rsidRDefault="00857BB9" w:rsidP="00ED7678">
            <w:pPr>
              <w:ind w:left="720"/>
            </w:pPr>
            <w:r w:rsidRPr="00FA4C2A">
              <w:rPr>
                <w:b/>
                <w:bCs/>
              </w:rPr>
              <w:t>2007</w:t>
            </w:r>
          </w:p>
        </w:tc>
        <w:tc>
          <w:tcPr>
            <w:tcW w:w="1899"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94,9 </w:t>
            </w:r>
          </w:p>
        </w:tc>
        <w:tc>
          <w:tcPr>
            <w:tcW w:w="28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97,3 </w:t>
            </w:r>
          </w:p>
        </w:tc>
        <w:tc>
          <w:tcPr>
            <w:tcW w:w="2854"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90,7 </w:t>
            </w:r>
          </w:p>
        </w:tc>
      </w:tr>
      <w:tr w:rsidR="00857BB9" w:rsidRPr="00FA4C2A" w:rsidTr="00ED7678">
        <w:trPr>
          <w:trHeight w:val="210"/>
        </w:trPr>
        <w:tc>
          <w:tcPr>
            <w:tcW w:w="1307" w:type="dxa"/>
            <w:tcBorders>
              <w:top w:val="single" w:sz="8" w:space="0" w:color="FFFFFF"/>
              <w:left w:val="single" w:sz="8" w:space="0" w:color="FFFFFF"/>
              <w:bottom w:val="single" w:sz="8" w:space="0" w:color="FFFFFF"/>
              <w:right w:val="single" w:sz="8" w:space="0" w:color="FFFFFF"/>
            </w:tcBorders>
            <w:shd w:val="clear" w:color="auto" w:fill="90C226"/>
            <w:tcMar>
              <w:top w:w="15" w:type="dxa"/>
              <w:left w:w="70" w:type="dxa"/>
              <w:bottom w:w="0" w:type="dxa"/>
              <w:right w:w="70" w:type="dxa"/>
            </w:tcMar>
            <w:vAlign w:val="bottom"/>
            <w:hideMark/>
          </w:tcPr>
          <w:p w:rsidR="00857BB9" w:rsidRPr="00FA4C2A" w:rsidRDefault="00857BB9" w:rsidP="00ED7678">
            <w:pPr>
              <w:ind w:left="720"/>
            </w:pPr>
            <w:r w:rsidRPr="00FA4C2A">
              <w:rPr>
                <w:b/>
                <w:bCs/>
              </w:rPr>
              <w:t>2008</w:t>
            </w:r>
          </w:p>
        </w:tc>
        <w:tc>
          <w:tcPr>
            <w:tcW w:w="1899"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bottom"/>
            <w:hideMark/>
          </w:tcPr>
          <w:p w:rsidR="00857BB9" w:rsidRPr="00FA4C2A" w:rsidRDefault="00857BB9" w:rsidP="00ED7678">
            <w:pPr>
              <w:ind w:left="720"/>
            </w:pPr>
            <w:r w:rsidRPr="00FA4C2A">
              <w:t xml:space="preserve">103,2 </w:t>
            </w:r>
          </w:p>
        </w:tc>
        <w:tc>
          <w:tcPr>
            <w:tcW w:w="2860"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bottom"/>
            <w:hideMark/>
          </w:tcPr>
          <w:p w:rsidR="00857BB9" w:rsidRPr="00FA4C2A" w:rsidRDefault="00857BB9" w:rsidP="00ED7678">
            <w:pPr>
              <w:ind w:left="720"/>
            </w:pPr>
            <w:r w:rsidRPr="00FA4C2A">
              <w:t xml:space="preserve">102,4 </w:t>
            </w:r>
          </w:p>
        </w:tc>
        <w:tc>
          <w:tcPr>
            <w:tcW w:w="2854"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bottom"/>
            <w:hideMark/>
          </w:tcPr>
          <w:p w:rsidR="00857BB9" w:rsidRPr="00FA4C2A" w:rsidRDefault="00857BB9" w:rsidP="00ED7678">
            <w:pPr>
              <w:ind w:left="720"/>
            </w:pPr>
            <w:r w:rsidRPr="00FA4C2A">
              <w:t xml:space="preserve">101,4 </w:t>
            </w:r>
          </w:p>
        </w:tc>
      </w:tr>
      <w:tr w:rsidR="00857BB9" w:rsidRPr="00FA4C2A" w:rsidTr="00ED7678">
        <w:trPr>
          <w:trHeight w:val="210"/>
        </w:trPr>
        <w:tc>
          <w:tcPr>
            <w:tcW w:w="1307" w:type="dxa"/>
            <w:tcBorders>
              <w:top w:val="single" w:sz="8" w:space="0" w:color="FFFFFF"/>
              <w:left w:val="single" w:sz="8" w:space="0" w:color="FFFFFF"/>
              <w:bottom w:val="single" w:sz="8" w:space="0" w:color="FFFFFF"/>
              <w:right w:val="single" w:sz="8" w:space="0" w:color="FFFFFF"/>
            </w:tcBorders>
            <w:shd w:val="clear" w:color="auto" w:fill="90C226"/>
            <w:tcMar>
              <w:top w:w="15" w:type="dxa"/>
              <w:left w:w="70" w:type="dxa"/>
              <w:bottom w:w="0" w:type="dxa"/>
              <w:right w:w="70" w:type="dxa"/>
            </w:tcMar>
            <w:vAlign w:val="bottom"/>
            <w:hideMark/>
          </w:tcPr>
          <w:p w:rsidR="00857BB9" w:rsidRPr="00FA4C2A" w:rsidRDefault="00857BB9" w:rsidP="00ED7678">
            <w:pPr>
              <w:ind w:left="720"/>
            </w:pPr>
            <w:r w:rsidRPr="00FA4C2A">
              <w:rPr>
                <w:b/>
                <w:bCs/>
              </w:rPr>
              <w:t>2009</w:t>
            </w:r>
          </w:p>
        </w:tc>
        <w:tc>
          <w:tcPr>
            <w:tcW w:w="1899"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77,5 </w:t>
            </w:r>
          </w:p>
        </w:tc>
        <w:tc>
          <w:tcPr>
            <w:tcW w:w="28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86,9 </w:t>
            </w:r>
          </w:p>
        </w:tc>
        <w:tc>
          <w:tcPr>
            <w:tcW w:w="2854"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68,8 </w:t>
            </w:r>
          </w:p>
        </w:tc>
      </w:tr>
      <w:tr w:rsidR="00857BB9" w:rsidRPr="00FA4C2A" w:rsidTr="00ED7678">
        <w:trPr>
          <w:trHeight w:val="210"/>
        </w:trPr>
        <w:tc>
          <w:tcPr>
            <w:tcW w:w="1307" w:type="dxa"/>
            <w:tcBorders>
              <w:top w:val="single" w:sz="8" w:space="0" w:color="FFFFFF"/>
              <w:left w:val="single" w:sz="8" w:space="0" w:color="FFFFFF"/>
              <w:bottom w:val="single" w:sz="8" w:space="0" w:color="FFFFFF"/>
              <w:right w:val="single" w:sz="8" w:space="0" w:color="FFFFFF"/>
            </w:tcBorders>
            <w:shd w:val="clear" w:color="auto" w:fill="90C226"/>
            <w:tcMar>
              <w:top w:w="15" w:type="dxa"/>
              <w:left w:w="70" w:type="dxa"/>
              <w:bottom w:w="0" w:type="dxa"/>
              <w:right w:w="70" w:type="dxa"/>
            </w:tcMar>
            <w:vAlign w:val="bottom"/>
            <w:hideMark/>
          </w:tcPr>
          <w:p w:rsidR="00857BB9" w:rsidRPr="00FA4C2A" w:rsidRDefault="00857BB9" w:rsidP="00ED7678">
            <w:pPr>
              <w:ind w:left="720"/>
            </w:pPr>
            <w:r w:rsidRPr="00FA4C2A">
              <w:rPr>
                <w:b/>
                <w:bCs/>
              </w:rPr>
              <w:t>2010</w:t>
            </w:r>
          </w:p>
        </w:tc>
        <w:tc>
          <w:tcPr>
            <w:tcW w:w="1899"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bottom"/>
            <w:hideMark/>
          </w:tcPr>
          <w:p w:rsidR="00857BB9" w:rsidRPr="00FA4C2A" w:rsidRDefault="00857BB9" w:rsidP="00ED7678">
            <w:pPr>
              <w:ind w:left="720"/>
            </w:pPr>
            <w:r w:rsidRPr="00FA4C2A">
              <w:t xml:space="preserve">83,7 </w:t>
            </w:r>
          </w:p>
        </w:tc>
        <w:tc>
          <w:tcPr>
            <w:tcW w:w="2860"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bottom"/>
            <w:hideMark/>
          </w:tcPr>
          <w:p w:rsidR="00857BB9" w:rsidRPr="00FA4C2A" w:rsidRDefault="00857BB9" w:rsidP="00ED7678">
            <w:pPr>
              <w:ind w:left="720"/>
            </w:pPr>
            <w:r w:rsidRPr="00FA4C2A">
              <w:t xml:space="preserve">90,6 </w:t>
            </w:r>
          </w:p>
        </w:tc>
        <w:tc>
          <w:tcPr>
            <w:tcW w:w="2854"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bottom"/>
            <w:hideMark/>
          </w:tcPr>
          <w:p w:rsidR="00857BB9" w:rsidRPr="00FA4C2A" w:rsidRDefault="00857BB9" w:rsidP="00ED7678">
            <w:pPr>
              <w:ind w:left="720"/>
            </w:pPr>
            <w:r w:rsidRPr="00FA4C2A">
              <w:t xml:space="preserve">77,5 </w:t>
            </w:r>
          </w:p>
        </w:tc>
      </w:tr>
      <w:tr w:rsidR="00857BB9" w:rsidRPr="00FA4C2A" w:rsidTr="00ED7678">
        <w:trPr>
          <w:trHeight w:val="210"/>
        </w:trPr>
        <w:tc>
          <w:tcPr>
            <w:tcW w:w="1307" w:type="dxa"/>
            <w:tcBorders>
              <w:top w:val="single" w:sz="8" w:space="0" w:color="FFFFFF"/>
              <w:left w:val="single" w:sz="8" w:space="0" w:color="FFFFFF"/>
              <w:bottom w:val="single" w:sz="8" w:space="0" w:color="FFFFFF"/>
              <w:right w:val="single" w:sz="8" w:space="0" w:color="FFFFFF"/>
            </w:tcBorders>
            <w:shd w:val="clear" w:color="auto" w:fill="90C226"/>
            <w:tcMar>
              <w:top w:w="15" w:type="dxa"/>
              <w:left w:w="70" w:type="dxa"/>
              <w:bottom w:w="0" w:type="dxa"/>
              <w:right w:w="70" w:type="dxa"/>
            </w:tcMar>
            <w:vAlign w:val="bottom"/>
            <w:hideMark/>
          </w:tcPr>
          <w:p w:rsidR="00857BB9" w:rsidRPr="00FA4C2A" w:rsidRDefault="00857BB9" w:rsidP="00ED7678">
            <w:pPr>
              <w:ind w:left="720"/>
            </w:pPr>
            <w:r w:rsidRPr="00FA4C2A">
              <w:rPr>
                <w:b/>
                <w:bCs/>
              </w:rPr>
              <w:t>2011</w:t>
            </w:r>
          </w:p>
        </w:tc>
        <w:tc>
          <w:tcPr>
            <w:tcW w:w="1899"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101,4 </w:t>
            </w:r>
          </w:p>
        </w:tc>
        <w:tc>
          <w:tcPr>
            <w:tcW w:w="28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98,0 </w:t>
            </w:r>
          </w:p>
        </w:tc>
        <w:tc>
          <w:tcPr>
            <w:tcW w:w="2854"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103,5 </w:t>
            </w:r>
          </w:p>
        </w:tc>
      </w:tr>
      <w:tr w:rsidR="00857BB9" w:rsidRPr="00FA4C2A" w:rsidTr="00ED7678">
        <w:trPr>
          <w:trHeight w:val="210"/>
        </w:trPr>
        <w:tc>
          <w:tcPr>
            <w:tcW w:w="1307" w:type="dxa"/>
            <w:tcBorders>
              <w:top w:val="single" w:sz="8" w:space="0" w:color="FFFFFF"/>
              <w:left w:val="single" w:sz="8" w:space="0" w:color="FFFFFF"/>
              <w:bottom w:val="single" w:sz="8" w:space="0" w:color="FFFFFF"/>
              <w:right w:val="single" w:sz="8" w:space="0" w:color="FFFFFF"/>
            </w:tcBorders>
            <w:shd w:val="clear" w:color="auto" w:fill="90C226"/>
            <w:tcMar>
              <w:top w:w="15" w:type="dxa"/>
              <w:left w:w="70" w:type="dxa"/>
              <w:bottom w:w="0" w:type="dxa"/>
              <w:right w:w="70" w:type="dxa"/>
            </w:tcMar>
            <w:vAlign w:val="bottom"/>
            <w:hideMark/>
          </w:tcPr>
          <w:p w:rsidR="00857BB9" w:rsidRPr="00FA4C2A" w:rsidRDefault="00857BB9" w:rsidP="00ED7678">
            <w:pPr>
              <w:ind w:left="720"/>
            </w:pPr>
            <w:r w:rsidRPr="00FA4C2A">
              <w:rPr>
                <w:b/>
                <w:bCs/>
              </w:rPr>
              <w:t>2012</w:t>
            </w:r>
          </w:p>
        </w:tc>
        <w:tc>
          <w:tcPr>
            <w:tcW w:w="1899"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bottom"/>
            <w:hideMark/>
          </w:tcPr>
          <w:p w:rsidR="00857BB9" w:rsidRPr="00FA4C2A" w:rsidRDefault="00857BB9" w:rsidP="00ED7678">
            <w:pPr>
              <w:ind w:left="720"/>
            </w:pPr>
            <w:r w:rsidRPr="00FA4C2A">
              <w:t xml:space="preserve">105,2 </w:t>
            </w:r>
          </w:p>
        </w:tc>
        <w:tc>
          <w:tcPr>
            <w:tcW w:w="2860"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bottom"/>
            <w:hideMark/>
          </w:tcPr>
          <w:p w:rsidR="00857BB9" w:rsidRPr="00FA4C2A" w:rsidRDefault="00857BB9" w:rsidP="00ED7678">
            <w:pPr>
              <w:ind w:left="720"/>
            </w:pPr>
            <w:r w:rsidRPr="00FA4C2A">
              <w:t xml:space="preserve">103,3 </w:t>
            </w:r>
          </w:p>
        </w:tc>
        <w:tc>
          <w:tcPr>
            <w:tcW w:w="2854"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bottom"/>
            <w:hideMark/>
          </w:tcPr>
          <w:p w:rsidR="00857BB9" w:rsidRPr="00FA4C2A" w:rsidRDefault="00857BB9" w:rsidP="00ED7678">
            <w:pPr>
              <w:ind w:left="720"/>
            </w:pPr>
            <w:r w:rsidRPr="00FA4C2A">
              <w:t xml:space="preserve">106,3 </w:t>
            </w:r>
          </w:p>
        </w:tc>
      </w:tr>
      <w:tr w:rsidR="00857BB9" w:rsidRPr="00FA4C2A" w:rsidTr="00ED7678">
        <w:trPr>
          <w:trHeight w:val="210"/>
        </w:trPr>
        <w:tc>
          <w:tcPr>
            <w:tcW w:w="1307" w:type="dxa"/>
            <w:tcBorders>
              <w:top w:val="single" w:sz="8" w:space="0" w:color="FFFFFF"/>
              <w:left w:val="single" w:sz="8" w:space="0" w:color="FFFFFF"/>
              <w:bottom w:val="single" w:sz="8" w:space="0" w:color="FFFFFF"/>
              <w:right w:val="single" w:sz="8" w:space="0" w:color="FFFFFF"/>
            </w:tcBorders>
            <w:shd w:val="clear" w:color="auto" w:fill="90C226"/>
            <w:tcMar>
              <w:top w:w="15" w:type="dxa"/>
              <w:left w:w="70" w:type="dxa"/>
              <w:bottom w:w="0" w:type="dxa"/>
              <w:right w:w="70" w:type="dxa"/>
            </w:tcMar>
            <w:vAlign w:val="bottom"/>
            <w:hideMark/>
          </w:tcPr>
          <w:p w:rsidR="00857BB9" w:rsidRPr="00FA4C2A" w:rsidRDefault="00857BB9" w:rsidP="00ED7678">
            <w:pPr>
              <w:ind w:left="720"/>
            </w:pPr>
            <w:r w:rsidRPr="00FA4C2A">
              <w:rPr>
                <w:b/>
                <w:bCs/>
              </w:rPr>
              <w:t>2013</w:t>
            </w:r>
          </w:p>
        </w:tc>
        <w:tc>
          <w:tcPr>
            <w:tcW w:w="1899"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109,9 </w:t>
            </w:r>
          </w:p>
        </w:tc>
        <w:tc>
          <w:tcPr>
            <w:tcW w:w="28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107,2 </w:t>
            </w:r>
          </w:p>
        </w:tc>
        <w:tc>
          <w:tcPr>
            <w:tcW w:w="2854"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111,7 </w:t>
            </w:r>
          </w:p>
        </w:tc>
      </w:tr>
      <w:tr w:rsidR="00857BB9" w:rsidRPr="00FA4C2A" w:rsidTr="00ED7678">
        <w:trPr>
          <w:trHeight w:val="210"/>
        </w:trPr>
        <w:tc>
          <w:tcPr>
            <w:tcW w:w="1307" w:type="dxa"/>
            <w:tcBorders>
              <w:top w:val="single" w:sz="8" w:space="0" w:color="FFFFFF"/>
              <w:left w:val="single" w:sz="8" w:space="0" w:color="FFFFFF"/>
              <w:bottom w:val="single" w:sz="8" w:space="0" w:color="FFFFFF"/>
              <w:right w:val="single" w:sz="8" w:space="0" w:color="FFFFFF"/>
            </w:tcBorders>
            <w:shd w:val="clear" w:color="auto" w:fill="90C226"/>
            <w:tcMar>
              <w:top w:w="15" w:type="dxa"/>
              <w:left w:w="70" w:type="dxa"/>
              <w:bottom w:w="0" w:type="dxa"/>
              <w:right w:w="70" w:type="dxa"/>
            </w:tcMar>
            <w:vAlign w:val="bottom"/>
            <w:hideMark/>
          </w:tcPr>
          <w:p w:rsidR="00857BB9" w:rsidRPr="00FA4C2A" w:rsidRDefault="00857BB9" w:rsidP="00ED7678">
            <w:pPr>
              <w:ind w:left="720"/>
            </w:pPr>
            <w:r w:rsidRPr="00FA4C2A">
              <w:rPr>
                <w:b/>
                <w:bCs/>
              </w:rPr>
              <w:t>2014</w:t>
            </w:r>
          </w:p>
        </w:tc>
        <w:tc>
          <w:tcPr>
            <w:tcW w:w="1899"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bottom"/>
            <w:hideMark/>
          </w:tcPr>
          <w:p w:rsidR="00857BB9" w:rsidRPr="00FA4C2A" w:rsidRDefault="00857BB9" w:rsidP="00ED7678">
            <w:pPr>
              <w:ind w:left="720"/>
            </w:pPr>
            <w:r w:rsidRPr="00FA4C2A">
              <w:t xml:space="preserve">105,8 </w:t>
            </w:r>
          </w:p>
        </w:tc>
        <w:tc>
          <w:tcPr>
            <w:tcW w:w="2860"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bottom"/>
            <w:hideMark/>
          </w:tcPr>
          <w:p w:rsidR="00857BB9" w:rsidRPr="00FA4C2A" w:rsidRDefault="00857BB9" w:rsidP="00ED7678">
            <w:pPr>
              <w:ind w:left="720"/>
            </w:pPr>
            <w:r w:rsidRPr="00FA4C2A">
              <w:t xml:space="preserve">112,4 </w:t>
            </w:r>
          </w:p>
        </w:tc>
        <w:tc>
          <w:tcPr>
            <w:tcW w:w="2854"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bottom"/>
            <w:hideMark/>
          </w:tcPr>
          <w:p w:rsidR="00857BB9" w:rsidRPr="00FA4C2A" w:rsidRDefault="00857BB9" w:rsidP="00ED7678">
            <w:pPr>
              <w:ind w:left="720"/>
            </w:pPr>
            <w:r w:rsidRPr="00FA4C2A">
              <w:t xml:space="preserve">100,1 </w:t>
            </w:r>
          </w:p>
        </w:tc>
      </w:tr>
      <w:tr w:rsidR="00857BB9" w:rsidRPr="00FA4C2A" w:rsidTr="00ED7678">
        <w:trPr>
          <w:trHeight w:val="210"/>
        </w:trPr>
        <w:tc>
          <w:tcPr>
            <w:tcW w:w="1307" w:type="dxa"/>
            <w:tcBorders>
              <w:top w:val="single" w:sz="8" w:space="0" w:color="FFFFFF"/>
              <w:left w:val="single" w:sz="8" w:space="0" w:color="FFFFFF"/>
              <w:bottom w:val="single" w:sz="8" w:space="0" w:color="FFFFFF"/>
              <w:right w:val="single" w:sz="8" w:space="0" w:color="FFFFFF"/>
            </w:tcBorders>
            <w:shd w:val="clear" w:color="auto" w:fill="90C226"/>
            <w:tcMar>
              <w:top w:w="15" w:type="dxa"/>
              <w:left w:w="70" w:type="dxa"/>
              <w:bottom w:w="0" w:type="dxa"/>
              <w:right w:w="70" w:type="dxa"/>
            </w:tcMar>
            <w:vAlign w:val="bottom"/>
            <w:hideMark/>
          </w:tcPr>
          <w:p w:rsidR="00857BB9" w:rsidRPr="00FA4C2A" w:rsidRDefault="00857BB9" w:rsidP="00ED7678">
            <w:pPr>
              <w:ind w:left="720"/>
            </w:pPr>
            <w:r w:rsidRPr="00FA4C2A">
              <w:rPr>
                <w:b/>
                <w:bCs/>
              </w:rPr>
              <w:t>2015</w:t>
            </w:r>
          </w:p>
        </w:tc>
        <w:tc>
          <w:tcPr>
            <w:tcW w:w="1899"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100,0 </w:t>
            </w:r>
          </w:p>
        </w:tc>
        <w:tc>
          <w:tcPr>
            <w:tcW w:w="28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100,0 </w:t>
            </w:r>
          </w:p>
        </w:tc>
        <w:tc>
          <w:tcPr>
            <w:tcW w:w="2854"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100,0 </w:t>
            </w:r>
          </w:p>
        </w:tc>
      </w:tr>
      <w:tr w:rsidR="00857BB9" w:rsidRPr="00FA4C2A" w:rsidTr="00ED7678">
        <w:trPr>
          <w:trHeight w:val="210"/>
        </w:trPr>
        <w:tc>
          <w:tcPr>
            <w:tcW w:w="1307" w:type="dxa"/>
            <w:tcBorders>
              <w:top w:val="single" w:sz="8" w:space="0" w:color="FFFFFF"/>
              <w:left w:val="single" w:sz="8" w:space="0" w:color="FFFFFF"/>
              <w:bottom w:val="single" w:sz="8" w:space="0" w:color="FFFFFF"/>
              <w:right w:val="single" w:sz="8" w:space="0" w:color="FFFFFF"/>
            </w:tcBorders>
            <w:shd w:val="clear" w:color="auto" w:fill="90C226"/>
            <w:tcMar>
              <w:top w:w="15" w:type="dxa"/>
              <w:left w:w="70" w:type="dxa"/>
              <w:bottom w:w="0" w:type="dxa"/>
              <w:right w:w="70" w:type="dxa"/>
            </w:tcMar>
            <w:vAlign w:val="bottom"/>
            <w:hideMark/>
          </w:tcPr>
          <w:p w:rsidR="00857BB9" w:rsidRPr="00FA4C2A" w:rsidRDefault="00857BB9" w:rsidP="00ED7678">
            <w:pPr>
              <w:ind w:left="720"/>
            </w:pPr>
            <w:r w:rsidRPr="00FA4C2A">
              <w:rPr>
                <w:b/>
                <w:bCs/>
              </w:rPr>
              <w:t>2016</w:t>
            </w:r>
          </w:p>
        </w:tc>
        <w:tc>
          <w:tcPr>
            <w:tcW w:w="1899"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bottom"/>
            <w:hideMark/>
          </w:tcPr>
          <w:p w:rsidR="00857BB9" w:rsidRPr="00FA4C2A" w:rsidRDefault="00857BB9" w:rsidP="00ED7678">
            <w:pPr>
              <w:ind w:left="720"/>
            </w:pPr>
            <w:r w:rsidRPr="00FA4C2A">
              <w:t xml:space="preserve">94,3 </w:t>
            </w:r>
          </w:p>
        </w:tc>
        <w:tc>
          <w:tcPr>
            <w:tcW w:w="2860"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bottom"/>
            <w:hideMark/>
          </w:tcPr>
          <w:p w:rsidR="00857BB9" w:rsidRPr="00FA4C2A" w:rsidRDefault="00857BB9" w:rsidP="00ED7678">
            <w:pPr>
              <w:ind w:left="720"/>
            </w:pPr>
            <w:r w:rsidRPr="00FA4C2A">
              <w:t xml:space="preserve">91,9 </w:t>
            </w:r>
          </w:p>
        </w:tc>
        <w:tc>
          <w:tcPr>
            <w:tcW w:w="2854" w:type="dxa"/>
            <w:tcBorders>
              <w:top w:val="single" w:sz="8" w:space="0" w:color="FFFFFF"/>
              <w:left w:val="single" w:sz="8" w:space="0" w:color="FFFFFF"/>
              <w:bottom w:val="single" w:sz="8" w:space="0" w:color="FFFFFF"/>
              <w:right w:val="single" w:sz="8" w:space="0" w:color="FFFFFF"/>
            </w:tcBorders>
            <w:shd w:val="clear" w:color="auto" w:fill="DBE9CD"/>
            <w:tcMar>
              <w:top w:w="15" w:type="dxa"/>
              <w:left w:w="70" w:type="dxa"/>
              <w:bottom w:w="0" w:type="dxa"/>
              <w:right w:w="70" w:type="dxa"/>
            </w:tcMar>
            <w:vAlign w:val="bottom"/>
            <w:hideMark/>
          </w:tcPr>
          <w:p w:rsidR="00857BB9" w:rsidRPr="00FA4C2A" w:rsidRDefault="00857BB9" w:rsidP="00ED7678">
            <w:pPr>
              <w:ind w:left="720"/>
            </w:pPr>
            <w:r w:rsidRPr="00FA4C2A">
              <w:t xml:space="preserve">96,0 </w:t>
            </w:r>
          </w:p>
        </w:tc>
      </w:tr>
      <w:tr w:rsidR="00857BB9" w:rsidRPr="00FA4C2A" w:rsidTr="00ED7678">
        <w:trPr>
          <w:trHeight w:val="210"/>
        </w:trPr>
        <w:tc>
          <w:tcPr>
            <w:tcW w:w="1307" w:type="dxa"/>
            <w:tcBorders>
              <w:top w:val="single" w:sz="8" w:space="0" w:color="FFFFFF"/>
              <w:left w:val="single" w:sz="8" w:space="0" w:color="FFFFFF"/>
              <w:bottom w:val="single" w:sz="8" w:space="0" w:color="FFFFFF"/>
              <w:right w:val="single" w:sz="8" w:space="0" w:color="FFFFFF"/>
            </w:tcBorders>
            <w:shd w:val="clear" w:color="auto" w:fill="90C226"/>
            <w:tcMar>
              <w:top w:w="15" w:type="dxa"/>
              <w:left w:w="70" w:type="dxa"/>
              <w:bottom w:w="0" w:type="dxa"/>
              <w:right w:w="70" w:type="dxa"/>
            </w:tcMar>
            <w:vAlign w:val="bottom"/>
            <w:hideMark/>
          </w:tcPr>
          <w:p w:rsidR="00857BB9" w:rsidRPr="00FA4C2A" w:rsidRDefault="00857BB9" w:rsidP="00ED7678">
            <w:pPr>
              <w:ind w:left="720"/>
            </w:pPr>
            <w:r w:rsidRPr="00FA4C2A">
              <w:rPr>
                <w:b/>
                <w:bCs/>
              </w:rPr>
              <w:t>2017</w:t>
            </w:r>
          </w:p>
        </w:tc>
        <w:tc>
          <w:tcPr>
            <w:tcW w:w="1899"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101,2 </w:t>
            </w:r>
          </w:p>
        </w:tc>
        <w:tc>
          <w:tcPr>
            <w:tcW w:w="2860"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105,9 </w:t>
            </w:r>
          </w:p>
        </w:tc>
        <w:tc>
          <w:tcPr>
            <w:tcW w:w="2854" w:type="dxa"/>
            <w:tcBorders>
              <w:top w:val="single" w:sz="8" w:space="0" w:color="FFFFFF"/>
              <w:left w:val="single" w:sz="8" w:space="0" w:color="FFFFFF"/>
              <w:bottom w:val="single" w:sz="8" w:space="0" w:color="FFFFFF"/>
              <w:right w:val="single" w:sz="8" w:space="0" w:color="FFFFFF"/>
            </w:tcBorders>
            <w:shd w:val="clear" w:color="auto" w:fill="EEF4E8"/>
            <w:tcMar>
              <w:top w:w="15" w:type="dxa"/>
              <w:left w:w="70" w:type="dxa"/>
              <w:bottom w:w="0" w:type="dxa"/>
              <w:right w:w="70" w:type="dxa"/>
            </w:tcMar>
            <w:vAlign w:val="bottom"/>
            <w:hideMark/>
          </w:tcPr>
          <w:p w:rsidR="00857BB9" w:rsidRPr="00FA4C2A" w:rsidRDefault="00857BB9" w:rsidP="00ED7678">
            <w:pPr>
              <w:ind w:left="720"/>
            </w:pPr>
            <w:r w:rsidRPr="00FA4C2A">
              <w:t xml:space="preserve">97,6 </w:t>
            </w:r>
          </w:p>
        </w:tc>
      </w:tr>
    </w:tbl>
    <w:p w:rsidR="00857BB9" w:rsidRDefault="00857BB9" w:rsidP="006F0892">
      <w:pPr>
        <w:ind w:left="720"/>
      </w:pPr>
      <w:r>
        <w:lastRenderedPageBreak/>
        <w:t xml:space="preserve"> </w:t>
      </w:r>
    </w:p>
    <w:p w:rsidR="00857BB9" w:rsidRDefault="00857BB9" w:rsidP="006F0892">
      <w:pPr>
        <w:ind w:left="720"/>
      </w:pPr>
      <w:r>
        <w:t>D</w:t>
      </w:r>
      <w:r w:rsidR="00B07EA6">
        <w:t xml:space="preserve">ruhá statistika (graf) se zaměřuje na marži </w:t>
      </w:r>
      <w:r w:rsidR="000D527E">
        <w:t xml:space="preserve">obchodníků v potravinové vertikále. Ta má dlouhodobě rostoucí tendenci a rozhodně se nezastaví na 10 %, ale průměrně se pohybuje kolem 40 %, u některých výrobků to přitom bývá mnohem více. </w:t>
      </w:r>
    </w:p>
    <w:p w:rsidR="00857BB9" w:rsidRDefault="00857BB9" w:rsidP="006F0892">
      <w:pPr>
        <w:ind w:left="720"/>
      </w:pPr>
      <w:r w:rsidRPr="00FA4C2A">
        <w:drawing>
          <wp:inline distT="0" distB="0" distL="0" distR="0" wp14:anchorId="47256F64" wp14:editId="022F37DB">
            <wp:extent cx="5396820" cy="3881437"/>
            <wp:effectExtent l="0" t="0" r="0" b="5080"/>
            <wp:docPr id="4" name="Zástupný symbol pro obsah 3">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0EE2EC08-A743-4A12-B7E8-A5A926C0403C}"/>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Zástupný symbol pro obsah 3">
                      <a:extLst>
                        <a:ext uri="{FF2B5EF4-FFF2-40B4-BE49-F238E27FC236}">
                          <a16:creationId xmlns="" xmlns:p="http://schemas.openxmlformats.org/presentationml/2006/main" xmlns:a16="http://schemas.microsoft.com/office/drawing/2014/main" xmlns:lc="http://schemas.openxmlformats.org/drawingml/2006/lockedCanvas" id="{0EE2EC08-A743-4A12-B7E8-A5A926C0403C}"/>
                        </a:ext>
                      </a:extLst>
                    </pic:cNvPr>
                    <pic:cNvPicPr>
                      <a:picLocks noGrp="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6820" cy="3881437"/>
                    </a:xfrm>
                    <a:prstGeom prst="rect">
                      <a:avLst/>
                    </a:prstGeom>
                    <a:noFill/>
                    <a:ln>
                      <a:noFill/>
                    </a:ln>
                  </pic:spPr>
                </pic:pic>
              </a:graphicData>
            </a:graphic>
          </wp:inline>
        </w:drawing>
      </w:r>
    </w:p>
    <w:p w:rsidR="00857BB9" w:rsidRDefault="00857BB9" w:rsidP="006F0892">
      <w:pPr>
        <w:ind w:left="720"/>
      </w:pPr>
    </w:p>
    <w:p w:rsidR="00B07EA6" w:rsidRDefault="000D527E" w:rsidP="006F0892">
      <w:pPr>
        <w:ind w:left="720"/>
      </w:pPr>
      <w:r>
        <w:t xml:space="preserve">V tuto chvíli si neodhadnu stanovit další náklady maloobchodu jako je nájem, mzdy, energie, popřípadě přeprava z distribučních center, nicméně dokáži si představit, že </w:t>
      </w:r>
      <w:r w:rsidR="00857BB9">
        <w:t>jim v konečném součtu nákladů a příjmů nakonec příjmy přečnívají</w:t>
      </w:r>
      <w:r w:rsidR="003D3220">
        <w:t xml:space="preserve"> nad </w:t>
      </w:r>
      <w:r w:rsidR="00857BB9">
        <w:t xml:space="preserve">náklady alespoň o deset procent. </w:t>
      </w:r>
      <w:r w:rsidR="003D3220">
        <w:t xml:space="preserve"> Náklady se navíc dají stlačit vylistováním „drahých“ dodavatelů nebo nějakou tou „množstevní slevou“, což často není nic jiného než přejmenované „</w:t>
      </w:r>
      <w:proofErr w:type="spellStart"/>
      <w:r w:rsidR="003D3220">
        <w:t>pultovné</w:t>
      </w:r>
      <w:proofErr w:type="spellEnd"/>
      <w:r w:rsidR="003D3220">
        <w:t xml:space="preserve">“.  A propos, </w:t>
      </w:r>
      <w:r w:rsidR="00857BB9">
        <w:t>zboží na pultech těchto obchodů pochází z více jak 50 % ze zahraničí a i na tomto zboží mají obchodníci nějakou marži. Tím spíše se mi</w:t>
      </w:r>
      <w:r w:rsidR="003D3220">
        <w:t xml:space="preserve"> proto</w:t>
      </w:r>
      <w:r w:rsidR="00857BB9">
        <w:t xml:space="preserve"> nechce věřit tvrzení, že zemědělci a potravináři generují větší zisky než retailový sektor. </w:t>
      </w:r>
    </w:p>
    <w:p w:rsidR="00857BB9" w:rsidRDefault="00857BB9" w:rsidP="006F0892">
      <w:pPr>
        <w:ind w:left="720"/>
      </w:pPr>
      <w:r>
        <w:t>Laskavý čtenář nechť si udělá obrázek sám, zástupce oné profesní organizace nechť zveřejní zdroj, ze kterého čerpal, jak k výsledným číslům dospěl, případn</w:t>
      </w:r>
      <w:r w:rsidR="003D3220">
        <w:t xml:space="preserve">ě se propříště zdrží žoviálních, trapných a hlavně nepravdivých </w:t>
      </w:r>
      <w:r>
        <w:t>komentářů na adresu zemědělců.</w:t>
      </w:r>
      <w:r w:rsidR="003D3220">
        <w:t xml:space="preserve"> </w:t>
      </w:r>
    </w:p>
    <w:p w:rsidR="00857BB9" w:rsidRPr="00857BB9" w:rsidRDefault="00857BB9" w:rsidP="00857BB9">
      <w:pPr>
        <w:ind w:left="720"/>
        <w:jc w:val="right"/>
        <w:rPr>
          <w:b/>
        </w:rPr>
      </w:pPr>
      <w:r w:rsidRPr="00857BB9">
        <w:rPr>
          <w:b/>
        </w:rPr>
        <w:t>Jan Doležal, Tajemník AK ČR</w:t>
      </w:r>
    </w:p>
    <w:p w:rsidR="007D3EA5" w:rsidRDefault="007D3EA5" w:rsidP="006F0892">
      <w:pPr>
        <w:ind w:left="720"/>
      </w:pPr>
    </w:p>
    <w:p w:rsidR="006F0892" w:rsidRDefault="006F0892" w:rsidP="006F0892">
      <w:pPr>
        <w:ind w:left="720"/>
      </w:pPr>
    </w:p>
    <w:p w:rsidR="00FA4C2A" w:rsidRDefault="00FA4C2A" w:rsidP="00FA4C2A"/>
    <w:p w:rsidR="00FA4C2A" w:rsidRDefault="00FA4C2A" w:rsidP="00AD25EA">
      <w:pPr>
        <w:ind w:left="720"/>
      </w:pPr>
    </w:p>
    <w:p w:rsidR="00FA4C2A" w:rsidRDefault="00FA4C2A" w:rsidP="00AD25EA">
      <w:pPr>
        <w:ind w:left="720"/>
      </w:pPr>
      <w:bookmarkStart w:id="0" w:name="_GoBack"/>
      <w:bookmarkEnd w:id="0"/>
    </w:p>
    <w:p w:rsidR="00FA4C2A" w:rsidRDefault="00FA4C2A" w:rsidP="00AD25EA">
      <w:pPr>
        <w:ind w:left="720"/>
      </w:pPr>
    </w:p>
    <w:p w:rsidR="00FA4C2A" w:rsidRDefault="00FA4C2A" w:rsidP="00AD25EA">
      <w:pPr>
        <w:ind w:left="720"/>
      </w:pPr>
    </w:p>
    <w:p w:rsidR="00FA4C2A" w:rsidRDefault="00FA4C2A" w:rsidP="00AD25EA">
      <w:pPr>
        <w:ind w:left="720"/>
      </w:pPr>
    </w:p>
    <w:p w:rsidR="00FA4C2A" w:rsidRDefault="00FA4C2A" w:rsidP="00AD25EA">
      <w:pPr>
        <w:ind w:left="720"/>
      </w:pPr>
    </w:p>
    <w:p w:rsidR="006E7DF0" w:rsidRDefault="006E7DF0" w:rsidP="00AD25EA">
      <w:pPr>
        <w:ind w:left="720"/>
      </w:pPr>
      <w:r>
        <w:t xml:space="preserve"> </w:t>
      </w:r>
    </w:p>
    <w:p w:rsidR="006E7DF0" w:rsidRDefault="006E7DF0" w:rsidP="00AD25EA">
      <w:pPr>
        <w:ind w:left="720"/>
      </w:pPr>
    </w:p>
    <w:sectPr w:rsidR="006E7D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71BA3"/>
    <w:multiLevelType w:val="hybridMultilevel"/>
    <w:tmpl w:val="FF7E393E"/>
    <w:lvl w:ilvl="0" w:tplc="5E566D32">
      <w:start w:val="1"/>
      <w:numFmt w:val="bullet"/>
      <w:lvlText w:val=""/>
      <w:lvlJc w:val="left"/>
      <w:pPr>
        <w:tabs>
          <w:tab w:val="num" w:pos="720"/>
        </w:tabs>
        <w:ind w:left="720" w:hanging="360"/>
      </w:pPr>
      <w:rPr>
        <w:rFonts w:ascii="Wingdings 3" w:hAnsi="Wingdings 3" w:hint="default"/>
      </w:rPr>
    </w:lvl>
    <w:lvl w:ilvl="1" w:tplc="BA2EF37A" w:tentative="1">
      <w:start w:val="1"/>
      <w:numFmt w:val="bullet"/>
      <w:lvlText w:val=""/>
      <w:lvlJc w:val="left"/>
      <w:pPr>
        <w:tabs>
          <w:tab w:val="num" w:pos="1440"/>
        </w:tabs>
        <w:ind w:left="1440" w:hanging="360"/>
      </w:pPr>
      <w:rPr>
        <w:rFonts w:ascii="Wingdings 3" w:hAnsi="Wingdings 3" w:hint="default"/>
      </w:rPr>
    </w:lvl>
    <w:lvl w:ilvl="2" w:tplc="45BA4B06" w:tentative="1">
      <w:start w:val="1"/>
      <w:numFmt w:val="bullet"/>
      <w:lvlText w:val=""/>
      <w:lvlJc w:val="left"/>
      <w:pPr>
        <w:tabs>
          <w:tab w:val="num" w:pos="2160"/>
        </w:tabs>
        <w:ind w:left="2160" w:hanging="360"/>
      </w:pPr>
      <w:rPr>
        <w:rFonts w:ascii="Wingdings 3" w:hAnsi="Wingdings 3" w:hint="default"/>
      </w:rPr>
    </w:lvl>
    <w:lvl w:ilvl="3" w:tplc="BD087A28" w:tentative="1">
      <w:start w:val="1"/>
      <w:numFmt w:val="bullet"/>
      <w:lvlText w:val=""/>
      <w:lvlJc w:val="left"/>
      <w:pPr>
        <w:tabs>
          <w:tab w:val="num" w:pos="2880"/>
        </w:tabs>
        <w:ind w:left="2880" w:hanging="360"/>
      </w:pPr>
      <w:rPr>
        <w:rFonts w:ascii="Wingdings 3" w:hAnsi="Wingdings 3" w:hint="default"/>
      </w:rPr>
    </w:lvl>
    <w:lvl w:ilvl="4" w:tplc="E5E04368" w:tentative="1">
      <w:start w:val="1"/>
      <w:numFmt w:val="bullet"/>
      <w:lvlText w:val=""/>
      <w:lvlJc w:val="left"/>
      <w:pPr>
        <w:tabs>
          <w:tab w:val="num" w:pos="3600"/>
        </w:tabs>
        <w:ind w:left="3600" w:hanging="360"/>
      </w:pPr>
      <w:rPr>
        <w:rFonts w:ascii="Wingdings 3" w:hAnsi="Wingdings 3" w:hint="default"/>
      </w:rPr>
    </w:lvl>
    <w:lvl w:ilvl="5" w:tplc="58122558" w:tentative="1">
      <w:start w:val="1"/>
      <w:numFmt w:val="bullet"/>
      <w:lvlText w:val=""/>
      <w:lvlJc w:val="left"/>
      <w:pPr>
        <w:tabs>
          <w:tab w:val="num" w:pos="4320"/>
        </w:tabs>
        <w:ind w:left="4320" w:hanging="360"/>
      </w:pPr>
      <w:rPr>
        <w:rFonts w:ascii="Wingdings 3" w:hAnsi="Wingdings 3" w:hint="default"/>
      </w:rPr>
    </w:lvl>
    <w:lvl w:ilvl="6" w:tplc="FCBED398" w:tentative="1">
      <w:start w:val="1"/>
      <w:numFmt w:val="bullet"/>
      <w:lvlText w:val=""/>
      <w:lvlJc w:val="left"/>
      <w:pPr>
        <w:tabs>
          <w:tab w:val="num" w:pos="5040"/>
        </w:tabs>
        <w:ind w:left="5040" w:hanging="360"/>
      </w:pPr>
      <w:rPr>
        <w:rFonts w:ascii="Wingdings 3" w:hAnsi="Wingdings 3" w:hint="default"/>
      </w:rPr>
    </w:lvl>
    <w:lvl w:ilvl="7" w:tplc="FF1C7846" w:tentative="1">
      <w:start w:val="1"/>
      <w:numFmt w:val="bullet"/>
      <w:lvlText w:val=""/>
      <w:lvlJc w:val="left"/>
      <w:pPr>
        <w:tabs>
          <w:tab w:val="num" w:pos="5760"/>
        </w:tabs>
        <w:ind w:left="5760" w:hanging="360"/>
      </w:pPr>
      <w:rPr>
        <w:rFonts w:ascii="Wingdings 3" w:hAnsi="Wingdings 3" w:hint="default"/>
      </w:rPr>
    </w:lvl>
    <w:lvl w:ilvl="8" w:tplc="8E363C14"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EA"/>
    <w:rsid w:val="000D527E"/>
    <w:rsid w:val="003D3220"/>
    <w:rsid w:val="005E27DA"/>
    <w:rsid w:val="00652F0E"/>
    <w:rsid w:val="006E7DF0"/>
    <w:rsid w:val="006F0892"/>
    <w:rsid w:val="007D3EA5"/>
    <w:rsid w:val="00857BB9"/>
    <w:rsid w:val="00AD25EA"/>
    <w:rsid w:val="00B07EA6"/>
    <w:rsid w:val="00BE4B25"/>
    <w:rsid w:val="00DC1836"/>
    <w:rsid w:val="00F52FB6"/>
    <w:rsid w:val="00FA4C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59290-02A8-4FC4-A63E-BC925EDA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00285">
      <w:bodyDiv w:val="1"/>
      <w:marLeft w:val="0"/>
      <w:marRight w:val="0"/>
      <w:marTop w:val="0"/>
      <w:marBottom w:val="0"/>
      <w:divBdr>
        <w:top w:val="none" w:sz="0" w:space="0" w:color="auto"/>
        <w:left w:val="none" w:sz="0" w:space="0" w:color="auto"/>
        <w:bottom w:val="none" w:sz="0" w:space="0" w:color="auto"/>
        <w:right w:val="none" w:sz="0" w:space="0" w:color="auto"/>
      </w:divBdr>
      <w:divsChild>
        <w:div w:id="1584995512">
          <w:marLeft w:val="547"/>
          <w:marRight w:val="0"/>
          <w:marTop w:val="200"/>
          <w:marBottom w:val="0"/>
          <w:divBdr>
            <w:top w:val="none" w:sz="0" w:space="0" w:color="auto"/>
            <w:left w:val="none" w:sz="0" w:space="0" w:color="auto"/>
            <w:bottom w:val="none" w:sz="0" w:space="0" w:color="auto"/>
            <w:right w:val="none" w:sz="0" w:space="0" w:color="auto"/>
          </w:divBdr>
        </w:div>
        <w:div w:id="1017662397">
          <w:marLeft w:val="547"/>
          <w:marRight w:val="0"/>
          <w:marTop w:val="200"/>
          <w:marBottom w:val="0"/>
          <w:divBdr>
            <w:top w:val="none" w:sz="0" w:space="0" w:color="auto"/>
            <w:left w:val="none" w:sz="0" w:space="0" w:color="auto"/>
            <w:bottom w:val="none" w:sz="0" w:space="0" w:color="auto"/>
            <w:right w:val="none" w:sz="0" w:space="0" w:color="auto"/>
          </w:divBdr>
        </w:div>
        <w:div w:id="215169394">
          <w:marLeft w:val="547"/>
          <w:marRight w:val="0"/>
          <w:marTop w:val="200"/>
          <w:marBottom w:val="0"/>
          <w:divBdr>
            <w:top w:val="none" w:sz="0" w:space="0" w:color="auto"/>
            <w:left w:val="none" w:sz="0" w:space="0" w:color="auto"/>
            <w:bottom w:val="none" w:sz="0" w:space="0" w:color="auto"/>
            <w:right w:val="none" w:sz="0" w:space="0" w:color="auto"/>
          </w:divBdr>
        </w:div>
        <w:div w:id="1822691585">
          <w:marLeft w:val="547"/>
          <w:marRight w:val="0"/>
          <w:marTop w:val="200"/>
          <w:marBottom w:val="0"/>
          <w:divBdr>
            <w:top w:val="none" w:sz="0" w:space="0" w:color="auto"/>
            <w:left w:val="none" w:sz="0" w:space="0" w:color="auto"/>
            <w:bottom w:val="none" w:sz="0" w:space="0" w:color="auto"/>
            <w:right w:val="none" w:sz="0" w:space="0" w:color="auto"/>
          </w:divBdr>
        </w:div>
        <w:div w:id="180702406">
          <w:marLeft w:val="547"/>
          <w:marRight w:val="0"/>
          <w:marTop w:val="200"/>
          <w:marBottom w:val="0"/>
          <w:divBdr>
            <w:top w:val="none" w:sz="0" w:space="0" w:color="auto"/>
            <w:left w:val="none" w:sz="0" w:space="0" w:color="auto"/>
            <w:bottom w:val="none" w:sz="0" w:space="0" w:color="auto"/>
            <w:right w:val="none" w:sz="0" w:space="0" w:color="auto"/>
          </w:divBdr>
        </w:div>
        <w:div w:id="430321473">
          <w:marLeft w:val="547"/>
          <w:marRight w:val="0"/>
          <w:marTop w:val="200"/>
          <w:marBottom w:val="0"/>
          <w:divBdr>
            <w:top w:val="none" w:sz="0" w:space="0" w:color="auto"/>
            <w:left w:val="none" w:sz="0" w:space="0" w:color="auto"/>
            <w:bottom w:val="none" w:sz="0" w:space="0" w:color="auto"/>
            <w:right w:val="none" w:sz="0" w:space="0" w:color="auto"/>
          </w:divBdr>
        </w:div>
        <w:div w:id="71632284">
          <w:marLeft w:val="547"/>
          <w:marRight w:val="0"/>
          <w:marTop w:val="200"/>
          <w:marBottom w:val="0"/>
          <w:divBdr>
            <w:top w:val="none" w:sz="0" w:space="0" w:color="auto"/>
            <w:left w:val="none" w:sz="0" w:space="0" w:color="auto"/>
            <w:bottom w:val="none" w:sz="0" w:space="0" w:color="auto"/>
            <w:right w:val="none" w:sz="0" w:space="0" w:color="auto"/>
          </w:divBdr>
        </w:div>
      </w:divsChild>
    </w:div>
    <w:div w:id="1204706114">
      <w:bodyDiv w:val="1"/>
      <w:marLeft w:val="0"/>
      <w:marRight w:val="0"/>
      <w:marTop w:val="0"/>
      <w:marBottom w:val="0"/>
      <w:divBdr>
        <w:top w:val="none" w:sz="0" w:space="0" w:color="auto"/>
        <w:left w:val="none" w:sz="0" w:space="0" w:color="auto"/>
        <w:bottom w:val="none" w:sz="0" w:space="0" w:color="auto"/>
        <w:right w:val="none" w:sz="0" w:space="0" w:color="auto"/>
      </w:divBdr>
    </w:div>
    <w:div w:id="16709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984</Words>
  <Characters>5502</Characters>
  <Application>Microsoft Office Word</Application>
  <DocSecurity>0</DocSecurity>
  <Lines>177</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Doležal</dc:creator>
  <cp:keywords/>
  <dc:description/>
  <cp:lastModifiedBy>Jan Doležal</cp:lastModifiedBy>
  <cp:revision>2</cp:revision>
  <dcterms:created xsi:type="dcterms:W3CDTF">2019-02-28T07:32:00Z</dcterms:created>
  <dcterms:modified xsi:type="dcterms:W3CDTF">2019-02-28T09:50:00Z</dcterms:modified>
</cp:coreProperties>
</file>